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16" w:rsidRDefault="00A1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0" cy="9372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4573" cy="938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94B" w:rsidRDefault="00A1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94B" w:rsidRDefault="00A1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94B" w:rsidRDefault="00A1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94B" w:rsidRPr="00A1594B" w:rsidRDefault="00A15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85D16" w:rsidRDefault="005D741B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I. ОБЩИЕ ПОЛОЖЕНИЯ.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Кубок Российского футбольного союза среди юношеских команд профессиональных футбольных клубов ФНЛ и ПФЛ (далее – Соревнования) проводится на основании приказа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Минспорта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 государственной аккредитации  Общероссийской общественной организации "Росс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ийский футбольный союз" (далее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РФС) от 16 ноября 2015 г. № 1043, в соответствии с Единым календарным планом межрегиональных, всероссийских и международных физкультурных мероприятий и спортивных мероприятий на 2019 год, утвержденным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Минспортом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лендарным планом спортивных мероприятий РФС на 2019 год. 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Соревнования проводятся с целью популяризации и развития футбола в Российской Федерации.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 проведения Соревнований являются: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выявление сильнейших спортсменов для формирования списка кан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дидатов в сборные юношеские команды Российской Федерации;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отбор спортсменов в сборные команды Российской Федерации для подготовки к международным соревнованиям и участия в них от имени Российской Федерации;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определение победителей и призеров Соревнов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аний.</w:t>
      </w:r>
    </w:p>
    <w:p w:rsidR="00F85D16" w:rsidRDefault="005D74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Запрещается оказывать противоправное влияние на результаты спортивных соревнований, включенных в настоящий Регламент.</w:t>
      </w:r>
    </w:p>
    <w:p w:rsidR="00F85D16" w:rsidRDefault="005D74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Спортсменам, судьям, тренерам, руководителям команд и другим участникам Соревнований  запрещается принимать участие в азартных иг</w:t>
      </w:r>
      <w:r>
        <w:rPr>
          <w:rFonts w:ascii="Times New Roman" w:eastAsia="Times New Roman" w:hAnsi="Times New Roman" w:cs="Times New Roman"/>
          <w:sz w:val="24"/>
          <w:szCs w:val="24"/>
        </w:rPr>
        <w:t>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 «О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спорте в Российской Федерации».</w:t>
      </w:r>
      <w:proofErr w:type="gramEnd"/>
    </w:p>
    <w:p w:rsidR="00F85D16" w:rsidRDefault="00F8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D16" w:rsidRDefault="005D74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РУКОВОДСТВО ПРОВЕДЕНИЕМ СОРЕВНОВАНИЙ.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Общее руководство по подготовке, проведению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ходом Соревнований осуществляется РФС.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Соревнования зонального этапа проводят Межрегиональные объединения федераци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футбола  (МРО)  РФС, финального - РФС. 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Непосредственное проведение финального этапа Соревнований возлагается на Директора Соревнований и Главную судейскую коллегию (ГСК), в состав которой входят: Главный судья, его заместитель и квалификатор. Состав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ГСК утверждается ДСИ  по согласованию с ДМФ. Функциональные обязанности Директора Соревнований и членов ГСК отражены в Приложении 3 к Регламенту соревнований.</w:t>
      </w:r>
    </w:p>
    <w:p w:rsidR="00F85D16" w:rsidRDefault="00F85D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5D16" w:rsidRDefault="005D74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ОБЕСПЕЧЕНИЕ БЕЗОПАСНОСТИ УЧАСТНИКОВ И ЗРИТЕЛЕЙ,</w:t>
      </w:r>
    </w:p>
    <w:p w:rsidR="00F85D16" w:rsidRDefault="005D74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МЕДИЦИНСКОЕ ОБЕСПЕЧЕНИЕ СПОРТИВНЫХ  СОРЕВНОВАНИЙ.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Спортивные соревнования проводятся на объектах спорта, включенных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Всероссийский реестр объектов спорта, в соответствии с пунктом 5  статьи  37.1  Федерального закона от 4 декабря 2007 года  N 329-ФЗ «О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культуре и спорте в Российской Федерации», отвечающих требованиям 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участников и зрителей, а </w:t>
      </w:r>
      <w:r>
        <w:rPr>
          <w:rFonts w:ascii="Times New Roman" w:eastAsia="Times New Roman" w:hAnsi="Times New Roman" w:cs="Times New Roman"/>
          <w:sz w:val="24"/>
          <w:szCs w:val="24"/>
        </w:rPr>
        <w:t>также отвечать требованиям правил по виду спорта «футбол».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на каждого участника Соревнований в организ</w:t>
      </w:r>
      <w:r>
        <w:rPr>
          <w:rFonts w:ascii="Times New Roman" w:eastAsia="Times New Roman" w:hAnsi="Times New Roman" w:cs="Times New Roman"/>
          <w:sz w:val="24"/>
          <w:szCs w:val="24"/>
        </w:rPr>
        <w:t>ацию ответственную за проведение данного этапа соревнований (зональный этап – МРО РФС, финальный эта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ГСК). Страхование участников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дств в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оответствии с законодательством Российской Федерации.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г. № 134н "О порядке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организации оказания медицинской помо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 лицам, занимающимся физической культурой и спортом (в том числе при подготовке и проведении физкультурных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циях и (или) выполнить нормативы испытаний (тестов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Всероссийского физкультурно-спортивного комплекса "Готов к труду и обороне".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допуска спортсмена к спортивным соревнованиям по медицинским заключениям является заявка с отметкой "Допущен"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изации, имеющей лицензию на осуществление медицинской деятельности, перечень работ и услуг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врачом по спортивной медицине и заверенная печатью медицинской организации, отвечающей вышеуказанным требованиям). 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решении вопросов, связанных с обеспечением безопасности, организаторы соревнований руководствуются федеральными законами РФ, законами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субъектов РФ, подзаконными актами РФ, в том числе "Правилами поведения зрителей при проведении  официальных спортивных соревнований" (утв. Постановлением Правительства РФ от 16.12.2013г.,№1156), "Правилами обеспечения безопасности при проведении официальн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спортивных соревнований» (утв. Постановлением Правительства РФ от 18.04.2014г., №353), приказом МВД  "Об утверждении Требований 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отдельным объектам инфраструктуры мест проведения официальных спортивных соревнований и техническому оснащению стадионов 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обеспечения общественного порядка и общественной безопасности" (№ 1092, утв. 17.11.2015), актами муниципальных органов, действующими нормами РФС, в том числе настоящим Регламентом.</w:t>
      </w:r>
    </w:p>
    <w:p w:rsidR="00F85D16" w:rsidRDefault="00F85D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5D16" w:rsidRDefault="005D74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VI. УЧАСТНИКИ СОРЕВНОВАНИЙ.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Соревнования проводятся среди юношеских команд профессиональных футбольных клубов ФНЛ и ПФЛ (или спортивных школ имеющих письменное соглашение (договор) с ПФК), команд  футбольных центров, а также команд ДЮСШ, не относящихся к профессиональным футбольны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клубам РПЛ, включенные в соревнования по решению МРО. 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К Соревнованиям допускаются команды, составленные из футболистов 2005 года рождения и моложе. 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Участие команд спортивных и футбольных школ (групп подготовки) профессиональных футбольных клубов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ФНЛ и ПФЛ в Кубке РФС является обязательным.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Регистрация (в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первая) и допуск к участию в соревнованиях иностранных футболистов, не достигших 18 лет, осуществляется в соответствии с действующим Регламентом ФИФА по статусу и переходам игроков.</w:t>
      </w:r>
    </w:p>
    <w:p w:rsidR="00F85D16" w:rsidRDefault="00F85D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5D16" w:rsidRDefault="005D74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 У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ЛОВИЯ ПРОВЕДЕНИЯ СОРЕВНОВАНИЙ И ОПРЕДЕЛЕНИЕ ПОБЕДИТЕЛЕЙ.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Соревнования проводятся в два этапа: зональный  и финальный.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Предварительный этап проводится МРО, Федерациями футбола г. Москвы и Московской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утвержденной ими структуре и кале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ндарю соревнований по следующим территориальным зонам: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Зона № 1 – Дальний Восток, зона № 2 – Сибирь, зона № 3 – Урал и Западная Сибирь, зона № 4 – Северо-Запад, зона № 5 – Золотое Кольцо, зона № 6 – Черноземье, Зона № 7 – Приволжье, зона № 8 – ЮФО-СКФО, 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№ 9 – Московская область, зона № 10 - г. Москва.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финальном турнире  участвуют 16 команд: команды, занявшие 1-3 места в зонах № 6,7 и 8, победители в зонах № 1, 2, 3, 4, 5, 9 и 10. 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не предусмотренным Регламентом обстоятельствам, возникающим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 Соревнований, решение принимают: на предварительном этапе – МРО, на финальном этапе – РФС.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Предварительный этап проводится с июля по сентябрь 2019 года, финальный – в октябре - ноябре 2019 года.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финальном этапе Соревнований команды разделя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на четыре группы, где проводят матчи по круговой системе в один круг. Затем по две сильнейшие команды из каждой группы образуют четвертьфинальные пары, победители которых выходят в полуфинал, а проигравшие встречаются в парах за 5-8 места. Победители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полуфинальных матчей встречаются между собой в финале, проигравшие в матче за 3-место. Аналогичным образом проводятся матчи за 9-16 места среди команд, занявших в своих группах 3-4 места. Стыковые матчи за 5, 7, 9, 11, 13, 15 места – проводятся в предпосле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дний день турнира. В последний день турнира проводятся  матчи  за  1 и 3 места.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 случае неприбытия команд на финальный турнир решение о системе его проведения принимает ДМФ РФС.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команд на предварительном и финальном этапах определяются по наиб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ольшей сумме набранных очков во всех матчах  данного этапа турнира. За победу начисляется  3 очка, за ничью- 1 очко, за поражение - 0 очков.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равенства очков у двух или более команд их места в таблице определяются  по следующим показателям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результатам матчей между собой (число очков, число побед, разность забитых и  пропущенных мячей, число забитых  мячей);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 наибольшему числу побед во всех матчах;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 лучшей разности забитых и пропущенных мячей во всех матчах;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 наибольшему числу забитых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мячей во всех матчах;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наименьшему числу очков, начисляемых футболистам за нарушения (желтая карточка – 1 очко, красная карточка - 3 очка).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равенства всех этих показателей – по жребию. 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финальном турнире при ничейном результате четвертьфинальн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полуфинального, финального или стыкового матчей победитель определяется в серии 11-метровых ударов, выполняемых по правилам ФИФА сразу после окончания матча.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Тренеры команд должны за 45 минут до начала матча внести в протокол матча (Приложение 2)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фамилии и имена футболистов  с указанием их номеров и предоставить Судье матча заявочный лист. В протокол матча должны быть внесены от 7 (семи) до 11 (одиннадцати) основных и не более 12 (двенадцати) запасных футболистов команды. В каждом матче разрешается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замена 7 футболистов из числа запасных, внесенных в протокол матча. Команда - хозяйка поля по календарю заполняет протокол матча первой.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Разминка запасных футболистов разрешается только в зоне, определенной  Судьей матча. 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Команде, не явившейся на матч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уважительной причины, засчитывается поражение со счетом 0-3, а команде-сопернице присуждается победа со счетом 3-0.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участие в матче незаявленного, заявленного с нарушением Регламента, дисквалифицированного или не внесенного в протокол матча футболи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ста, команде засчитывается поражение со счетом  0-3, а сопернику присуждается победа со счетом 3-0.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повторные нарушения Регламента команда может быть исключена из числа участников соревнования.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команда, снятая (снявшаяся) с Соревнований, провела менее 50% матчей, то результаты матчей с ее участием аннулируются. Если команда провела 50%  или более матчей и была снята или снялась с Соревнований, этой команде в оставшихся матчах засчитываются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оражения со счетом 0-3, а команда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соперницам присуждается победа со счетом 3-0.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Продолжительность матчей (U-15) – 70 минут: 2 тайма по 35 минут.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Проведение матчей Соревнования без бригады скорой медицинской помощи запрещено. Матчи Соревнования,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 из этапов, разрешается проводить на стадионах имеющих сертификат соответствия РФС любой категории согласно требованиям Стандарта РФС (СТО) "Футбольные стадионы".</w:t>
      </w:r>
    </w:p>
    <w:p w:rsidR="00F85D16" w:rsidRDefault="00F85D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5D16" w:rsidRDefault="005D74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VI. СУДЕЙСТВО СОРЕВНОВАНИЙ.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Судейство Соревнований осуществляется судьями, утвержде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нными Исполкомом РФС  для обслуживания матчей Чемпионата и Первенства России среди команд клубов РФПЛ, ФНЛ,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ПФЛ, а также судьями, рекомендованными региональными  федерациями футбола для обслуживания региональных и юношеских соревнований.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Судейство осуще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ствляется в соответствии с "Правилами игры в футбол 2018/2019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.", а также в соответствии с изменениями и дополнениями, утвержденными Международным Советом футбольных ассоциаций (ИФАБ).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Для проведения матча назначается Судья, который обязан прибыть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проведения матча не позднее 2-х часов до его начала. Местные коллегии судей обеспечивают судейство двумя помощниками Судьи матча из числа рекомендованных для обслуживания матчей указанных соревнований.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 В случае неявки назначенного Судьи, матч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оводит один из его помощников.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После окончания матча тренеры команд и Судья обязаны в течение 30 минут оформить протокол матча, который не позднее 24 часов высылается по адресу соответствующего МРО, куда  Судья также направляет факсом или электронной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чтой  сообщение о результате матча.</w:t>
      </w:r>
    </w:p>
    <w:p w:rsidR="00F85D16" w:rsidRDefault="00F85D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5D16" w:rsidRDefault="005D74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VII. ПОРЯДОК ОФОРМЛЕНИЯ ЗАЯВОЧНОЙ ДОКУМЕНТАЦИИ.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Оформление заявок проводится МРО в установленные им сроки.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При оформлении заявок представляются следующие документы:</w:t>
      </w:r>
    </w:p>
    <w:p w:rsidR="00F85D16" w:rsidRDefault="005D741B">
      <w:pPr>
        <w:tabs>
          <w:tab w:val="left" w:pos="3686"/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заявочный лист по установленной форме, отпечатанный в 2-х экземплярах с указанием в нем единых номеров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индификаторов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футболистов (ЕНИ), подписанный руководством спортивной школы (академии) Клуба, соответствующей региональной федерацией футбола и скреплен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печатями данных организации, а также подписью врача по спортивной медицине и печатью медицинского учреждения, имеющего  лицензию, предусматривающую работы (услуги) по лечебной физкультуре и спортивной медицине (приложение 1);.</w:t>
      </w:r>
      <w:proofErr w:type="gramEnd"/>
    </w:p>
    <w:p w:rsidR="00F85D16" w:rsidRDefault="005D741B">
      <w:pPr>
        <w:tabs>
          <w:tab w:val="left" w:pos="3686"/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паспорта или свидетельс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 рождении (в зависимости от возраста юного футболиста);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копия международного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трансферного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сертификата (МТС) при переходе футболиста из  футбольного клуба (спортивной школы) другой национальной ассоциации;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 договоры (оригиналы) о страховании футбол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иста;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 согласие на обработку персональных данных от каждого футболиста 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Приложение 5);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 лицензию Главного тренера команды не ниже категории "С".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 заявочный лист разрешается включать до 30 футболистов.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Наличие врача в команде на зональном и финаль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ном этапах является обязательным. Медицинский работник (врач), входящий в состав команды, должен предъявить комиссии по допуску участников документы, подтверждающие его образование и квалификацию.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Каждый футболист должен быть закреплен за соответствующе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школой (академией), за которую он выступает, или за футбольный клуб в соответствии с данными единой информационно-аналитической системы (ЕИАС) РФС. 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выступление футболиста, зарегистрированного за профессиональным футбольным клубом, за спортив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ную школу, из которой он перешел в профессиональный футбольный клуб, при наличии письменного разрешения данного профессионального футбольного клуба. При оформлении заявок на каждом из этапов соревнований на таких футболистов предоставляется письменное согл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асие профессионального футбольного клуба.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футболистов за спортивными школами и количество переходов футболистов регулируется положениями статьи 13 Регламента РФС по статусу и переходам (трансферу) футболистов.</w:t>
      </w:r>
    </w:p>
    <w:p w:rsidR="00F85D16" w:rsidRDefault="005D7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Экземпляры утверждённых (или предв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арительных) заявочных листов  команд,  должны быть направлены в МРО ДФС на электронную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почту: dfs-football@mail.ru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руководителями футбольных клубов не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чем за 10 календарных дней до начала соревнования. Также в эти же сроки команды обязаны предостав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ить командную фотографию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разрешением не менее 870 х 420 пикселей), эмблему (логотип, с разрешением не менее 200 х 200 пикселей) по одной портретной фотографии на каждого футболиста и официального лица (с разрешением не менее 300 х 300 пикселей), включе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нного в заявочный лист команды.  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F85D16" w:rsidRDefault="005D74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VIII. ОТВЕТСТВЕННОСТЬ ФУТБОЛИСТОВ И РУКОВОДИТЕЛЕЙ КОМАНД.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Футболисты и руководители команд, принимающие участие в Соревнованиях, обязаны соблюдать все требования игры и настоящего Регламента, проявляя при этом высокую дисциплину, уважение к соперникам, судьям и зрителям. Руководители команд не имеют права вмеш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иваться в действия судей матча, они несут полную ответственность за поведение футболистов своей команды.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Если матч был прекращен из-за недисциплинированного поведения футболистов  одной из команд, то этой команде засчитывается техническое поражение со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0-3, а ее соперникам присуждается победа со счетом 3-0, если к этому моменту счет не был более крупным. В этом случае проводящей организацией  утверждается данный счет.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матч по решению главного судьи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недоигран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из-за необеспечения порядка на стад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ионе, то команд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хозяйке засчитывается поражение со счетом 0-3, а команде-сопернице присуждается победа со счетом 3-0. В этом случае стадион может быть дисквалифицирован, и очередные матчи перенесены на другой стадион. В случае прекращения матча Судьей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-за недисциплинированного поведения футболистов обеих команд,  каждой из них засчитывается поражение со счетом 0-3. 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Футболист, удаленный с поля, автоматически пропускает очередной матч  и до решения дисциплинарного органа проводящей организации к участ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в очередных матчах не допускается.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Футболист, получивший 3 предупреждения, пропускает следующий матч, и после каждого последующего предупреждения  пропускает очередной матч.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Команды-участницы Соревнований имеют право подачи протеста в организацию,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оводящую соревнование. Тренер команды, подающей протест, обязан немедленно после окончания матча предупредить Судью и тренера команды-соперницы о подаче протеста.  Заявление о подаче протеста фиксируется в протоколе матча. Протест должен быть мотивирован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письменном виде в течение 24 часов  направлен в организацию, проводящую соревнование.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принимаются к рассмотрению протесты:</w:t>
      </w:r>
    </w:p>
    <w:p w:rsidR="00F85D16" w:rsidRDefault="005D741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несвоевременно поданные;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незафиксированные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протоколе матча;</w:t>
      </w:r>
    </w:p>
    <w:p w:rsidR="00F85D16" w:rsidRDefault="005D741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на качество судейства. 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Каждая команда футбольного клуба, участника финального этапа Соревнования, обязана прибыть на место проведения турнира в день, предшествующий первому туру (согласно календарю) Соревнований.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Представитель каждой команды обязан присутствовать на технич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еском совещании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предоставить  документы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заявки команды в комиссию по допуску участников накануне старта Соревнований.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Дисциплинарные проступки футболистов, руководителей команд, а также случаи возникновения на стадионе беспорядков среди зрителей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до, во время или после матча) на зональном этапе Соревнований рассматривает КДК соответствующего МРО, на финальном этапе – Дисциплинарный орган Соревнований. Санкции за нарушение Правил игры и Регламента, недисциплинированного поведения игроков и руководит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 Клубов налагаются в соответствии с Дисциплинарным Регламентом РФС. Апелляции на решения КДК МРО  и Дисциплинарного органа Соревнований подаются в КДК РФС в соответствии с Дисциплинарным регламентом РФС. Протесты должны быть рассмотрены не позднее 1 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 начала следующего тура Соревнований.</w:t>
      </w:r>
    </w:p>
    <w:p w:rsidR="00F85D16" w:rsidRDefault="00F85D16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5D16" w:rsidRDefault="005D741B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IX. МЕСТА И СРОКИ  ПРОВЕДЕНИЯ  СОРЕВНОВАНИЙ.</w:t>
      </w:r>
    </w:p>
    <w:p w:rsidR="00F85D16" w:rsidRDefault="005D7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Зональный этап соревнований в зоне "Дальний Восток" среди команд юношей 2005 г.р. проводится с 22 по 30 августа 2019 года в городе Хабаровске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5D16" w:rsidRDefault="005D7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Финальный этап Кубка 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ФС проводится 17 – 27 октября в городе Астрахань.</w:t>
      </w:r>
    </w:p>
    <w:p w:rsidR="00F85D16" w:rsidRDefault="005D741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Принимающая организация и руководители команд несут ответственность за обеспечение порядка на стадионе во время, до и после окончания футбольного матча. </w:t>
      </w:r>
    </w:p>
    <w:p w:rsidR="00F85D16" w:rsidRDefault="005D7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Проводящая организация обязана предоставить 4 фут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больных мяча стандартов  FIFA  для проведения соревнований.</w:t>
      </w:r>
    </w:p>
    <w:p w:rsidR="00F85D16" w:rsidRDefault="005D741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Принимающая организация (команда) обязана предоставить на безвозмездной основе:</w:t>
      </w:r>
    </w:p>
    <w:p w:rsidR="00F85D16" w:rsidRDefault="005D741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футбольные поля, которые соответствуют правилам игры, с травяным или искусственным покрытием и с четкой  размет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кой;</w:t>
      </w:r>
    </w:p>
    <w:p w:rsidR="00F85D16" w:rsidRDefault="005D741B">
      <w:pPr>
        <w:spacing w:after="0" w:line="240" w:lineRule="auto"/>
        <w:ind w:right="56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футбольные ворота с сеткой;</w:t>
      </w:r>
    </w:p>
    <w:p w:rsidR="00F85D16" w:rsidRDefault="005D741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 раздевалки для футболистов каждой команды;</w:t>
      </w:r>
    </w:p>
    <w:p w:rsidR="00F85D16" w:rsidRDefault="005D741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судейскую комнату с необходимым оборудованием, 2 комплекта флажков для помощников  судьи матча, бланки протоколов матча;</w:t>
      </w:r>
    </w:p>
    <w:p w:rsidR="00F85D16" w:rsidRDefault="005D741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дежурство машины скорой медицинской помощи;</w:t>
      </w:r>
    </w:p>
    <w:p w:rsidR="00F85D16" w:rsidRDefault="005D741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дежурство работников органов правопорядка; </w:t>
      </w:r>
    </w:p>
    <w:p w:rsidR="00F85D16" w:rsidRDefault="005D741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чай, питьевую воду в раздевалки футболистов и судейскую комнату (за счет проводящей организации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85D16" w:rsidRDefault="005D741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юных футболистов для подачи мячей;</w:t>
      </w:r>
    </w:p>
    <w:p w:rsidR="00F85D16" w:rsidRDefault="005D741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душ с теплой водой не менее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на 4 места;</w:t>
      </w:r>
    </w:p>
    <w:p w:rsidR="00F85D16" w:rsidRDefault="005D741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информационное табло.</w:t>
      </w:r>
    </w:p>
    <w:p w:rsidR="00F85D16" w:rsidRDefault="00F85D1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5D16" w:rsidRDefault="005D74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X. УСЛОВИЯ  ПРИЕМА  И  ФИНАНСИРОВАНИЕ.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Обязательным условием участия в Соревнованиях является оплата организацией, направляющей свою команду на Соревнования, взноса за участие в Соревнованиях.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Размеры взноса за участие в зональном этапе Соревнования,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сроки его оплаты определяются МРО. </w:t>
      </w:r>
    </w:p>
    <w:p w:rsidR="00F85D16" w:rsidRDefault="005D7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Взнос за участие зональном этапе Соревнований установлен в размере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60000( шестьдесят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тысяч рублей и подлежит оплате путём перечисления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/счёт МРО ДФС.</w:t>
      </w:r>
    </w:p>
    <w:p w:rsidR="00F85D16" w:rsidRDefault="005D74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Межрегиональная общественная организация "Дальневосточный ф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утбольный союз"</w:t>
      </w:r>
    </w:p>
    <w:p w:rsidR="00F85D16" w:rsidRDefault="005D74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Почтовый адрес: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680028, г. Хабаровск, ул. Фрунзе, 60, каб.305-Б</w:t>
      </w:r>
      <w:r>
        <w:rPr>
          <w:rFonts w:ascii="Times New Roman" w:eastAsia="Times New Roman" w:hAnsi="Times New Roman" w:cs="Times New Roman"/>
        </w:rPr>
        <w:t xml:space="preserve"> </w:t>
      </w:r>
    </w:p>
    <w:p w:rsidR="00F85D16" w:rsidRDefault="005D74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/счет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40703810908220000122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 Дальневосточном филиале ПАО "МТС – Банк" в г. Хабаровске</w:t>
      </w:r>
    </w:p>
    <w:p w:rsidR="00F85D16" w:rsidRDefault="005D74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счет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30101810700000000838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БИК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040813838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2540090700;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КПП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272201001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ОКПО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13730674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ОГРН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1027739053704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МРО несет следующие расходы, связанные с организацией и проведением зонального этапа Соревнований:</w:t>
      </w:r>
    </w:p>
    <w:p w:rsidR="00F85D16" w:rsidRDefault="005D741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аренда автотранспорта для доставки по прибытию команд гостей и судей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 вокзала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аэропорта до гостиницы и обратно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убытию;</w:t>
      </w:r>
    </w:p>
    <w:p w:rsidR="00F85D16" w:rsidRDefault="005D741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аренда автотранспорта для доставки судей от гостиницы к месту проведения и обратно в день игры;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оплата работы судей и ГСК;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оплата проезда судей и  ГСК, их проживание в гостинице;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наградная и сувенирная атрибутика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предоставление футбольных мячей стандартов FIFA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PRO,  FIFA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IMS;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питьевая вода;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информационное обеспечение.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Проезд от гостиницы к месту проведения соревнований в день игры и обратно команды производят самостоятельно.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Расходы по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оезду команд к месту проведения зональных и финальных этапов Соревнований, питанию в пути, проживанию и питанию команд в дни проведения Соревнований, страхованию несут командирующие их организации.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85D16" w:rsidRDefault="00F85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5D16" w:rsidRDefault="005D74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XI. НАГРАЖДЕНИЕ.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Победителю зонального этапа Соревнований среди юношеских команд профессиональных футбольных клубов ФНЛ и ПФЛ присваивается звание "Победитель Кубка РФС среди юношеских команд профессиональных футбольных клубов ФНЛ и ПФЛ, зона "Дальний Восток". Команда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аграждается Кубком,  дипломом и вымпелом ДФС, футболисты и тренеры золотыми медалями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Команды, занявшие второе и третье места в указанных соревнованиях, награждаются дипломами и вымпелами  ДФС, а также соответственно серебряными  и бронзовыми медалями.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МРО ДФС награждает лучших игроков турнира в шести номинациях.</w:t>
      </w:r>
    </w:p>
    <w:p w:rsidR="00F85D16" w:rsidRDefault="005D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не предусмотренным Регламентом обстоятельствам, возникающим в ходе Соревнований, решение принимают: на предварительном этапе – МРО, на финальном этапе – Директор Соревнований совместно с 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СК.</w:t>
      </w:r>
    </w:p>
    <w:p w:rsidR="00F85D16" w:rsidRDefault="00F85D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5D16" w:rsidRDefault="00F85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5D16" w:rsidRDefault="005D74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85D16">
          <w:footerReference w:type="even" r:id="rId8"/>
          <w:footerReference w:type="default" r:id="rId9"/>
          <w:pgSz w:w="11907" w:h="16840"/>
          <w:pgMar w:top="454" w:right="1134" w:bottom="454" w:left="851" w:header="720" w:footer="720" w:gutter="0"/>
          <w:pgNumType w:start="1"/>
          <w:cols w:space="720"/>
          <w:titlePg/>
        </w:sectPr>
      </w:pPr>
      <w:r>
        <w:br w:type="page"/>
      </w:r>
    </w:p>
    <w:p w:rsidR="00F85D16" w:rsidRDefault="00F85D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540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08"/>
        <w:gridCol w:w="2916"/>
        <w:gridCol w:w="11184"/>
      </w:tblGrid>
      <w:tr w:rsidR="00F85D16">
        <w:trPr>
          <w:trHeight w:val="1220"/>
        </w:trPr>
        <w:tc>
          <w:tcPr>
            <w:tcW w:w="1308" w:type="dxa"/>
            <w:vAlign w:val="center"/>
          </w:tcPr>
          <w:p w:rsidR="00F85D16" w:rsidRDefault="005D741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79120" cy="676910"/>
                  <wp:effectExtent l="0" t="0" r="0" b="0"/>
                  <wp:docPr id="2" name="image3.png" descr="Logo исходни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Logo исходник 1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6769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  <w:vAlign w:val="center"/>
          </w:tcPr>
          <w:p w:rsidR="00F85D16" w:rsidRDefault="00F85D1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84" w:type="dxa"/>
            <w:vAlign w:val="center"/>
          </w:tcPr>
          <w:p w:rsidR="00F85D16" w:rsidRDefault="005D741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Приложение 1</w:t>
            </w:r>
          </w:p>
          <w:p w:rsidR="00F85D16" w:rsidRDefault="005D741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ЗАЯВОЧНЫЙ ЛИСТ                                             </w:t>
            </w:r>
          </w:p>
          <w:p w:rsidR="00F85D16" w:rsidRDefault="005D741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футбольной команды ______________________________ город ______________________________</w:t>
            </w:r>
          </w:p>
          <w:p w:rsidR="00F85D16" w:rsidRDefault="005D741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 участие в «Кубке РФС по футболу среди  юношеских команд профессиональных  клубов ФНЛ и ПФЛ»</w:t>
            </w:r>
          </w:p>
          <w:p w:rsidR="00F85D16" w:rsidRDefault="005D741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(футболисты не старше 2005 года рождения).</w:t>
            </w:r>
          </w:p>
        </w:tc>
      </w:tr>
    </w:tbl>
    <w:p w:rsidR="00F85D16" w:rsidRDefault="00F85D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7"/>
        <w:tblW w:w="15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3946"/>
        <w:gridCol w:w="1134"/>
        <w:gridCol w:w="850"/>
        <w:gridCol w:w="2127"/>
        <w:gridCol w:w="708"/>
        <w:gridCol w:w="851"/>
        <w:gridCol w:w="1559"/>
        <w:gridCol w:w="1134"/>
        <w:gridCol w:w="810"/>
        <w:gridCol w:w="891"/>
        <w:gridCol w:w="1559"/>
      </w:tblGrid>
      <w:tr w:rsidR="00F85D16">
        <w:trPr>
          <w:trHeight w:val="36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D16" w:rsidRDefault="00F8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F85D16" w:rsidRDefault="005D7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D16" w:rsidRDefault="00F8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F85D16" w:rsidRDefault="005D7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Фамилия, имя отчество (полностью)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D16" w:rsidRDefault="005D7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D16" w:rsidRDefault="005D7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Гражданство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D16" w:rsidRDefault="005D7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Серия, номер гражданского паспорта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D16" w:rsidRDefault="005D7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Амплуа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D16" w:rsidRDefault="005D7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Игровой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D16" w:rsidRDefault="005D7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Квалификация (разряд, звание)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D16" w:rsidRDefault="005D7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Номер в ЕИАС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5D7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Полис страхования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D16" w:rsidRDefault="005D7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виза врача</w:t>
            </w:r>
          </w:p>
          <w:p w:rsidR="00F85D16" w:rsidRDefault="005D7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допуск,   подпись</w:t>
            </w:r>
          </w:p>
        </w:tc>
      </w:tr>
      <w:tr w:rsidR="00F85D16">
        <w:trPr>
          <w:trHeight w:val="300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5D7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начало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5D7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оконч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F85D1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5D741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85D1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5D741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85D1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5D741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85D1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5D741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85D1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5D741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85D1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5D741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85D1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5D741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85D1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5D741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85D1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5D741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85D1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5D741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85D1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5D741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85D1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5D741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85D1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5D741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85D1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5D741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85D1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5D741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85D1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5D741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85D1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5D741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85D1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5D741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85D1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5D741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85D1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5D741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85D1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5D741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85D1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5D741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85D1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5D741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85D1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5D741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85D1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5D741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F85D16" w:rsidRDefault="005D7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РУКОВОДЯЩИЙ И ТРЕНЕРСКИЙ СОСТАВ КОМАНДЫ</w:t>
      </w:r>
    </w:p>
    <w:p w:rsidR="00F85D16" w:rsidRDefault="00F85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8"/>
        <w:tblW w:w="15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4794"/>
        <w:gridCol w:w="1701"/>
        <w:gridCol w:w="1843"/>
        <w:gridCol w:w="3602"/>
        <w:gridCol w:w="2068"/>
        <w:gridCol w:w="1559"/>
      </w:tblGrid>
      <w:tr w:rsidR="00F85D16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D16" w:rsidRDefault="005D741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D16" w:rsidRDefault="005D741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Фамилия, имя отчество (полностью)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D16" w:rsidRDefault="005D741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D16" w:rsidRDefault="005D741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Лицензия</w:t>
            </w:r>
          </w:p>
          <w:p w:rsidR="00F85D16" w:rsidRDefault="005D741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(срок действия)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D16" w:rsidRDefault="005D741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Контактный телефон, факс, 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D16" w:rsidRDefault="005D741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D16" w:rsidRDefault="005D741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Подпись</w:t>
            </w:r>
          </w:p>
        </w:tc>
      </w:tr>
      <w:tr w:rsidR="00F85D16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5D741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85D16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5D741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85D16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5D741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85D16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5D741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85D16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5D741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85D16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5D741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F85D16" w:rsidRDefault="00F85D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tbl>
      <w:tblPr>
        <w:tblStyle w:val="a9"/>
        <w:tblW w:w="1535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007"/>
        <w:gridCol w:w="8345"/>
      </w:tblGrid>
      <w:tr w:rsidR="00F85D16">
        <w:tc>
          <w:tcPr>
            <w:tcW w:w="7007" w:type="dxa"/>
          </w:tcPr>
          <w:p w:rsidR="00F85D16" w:rsidRDefault="00F85D1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8345" w:type="dxa"/>
          </w:tcPr>
          <w:p w:rsidR="00F85D16" w:rsidRDefault="00F85D16">
            <w:pPr>
              <w:widowControl w:val="0"/>
              <w:spacing w:after="0"/>
              <w:ind w:left="3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85D16">
        <w:tc>
          <w:tcPr>
            <w:tcW w:w="7007" w:type="dxa"/>
          </w:tcPr>
          <w:p w:rsidR="00F85D16" w:rsidRDefault="00F85D1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F85D16" w:rsidRDefault="00F85D1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F85D16" w:rsidRDefault="00F85D1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F85D16" w:rsidRDefault="005D741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Руководитель клуба      </w:t>
            </w:r>
          </w:p>
          <w:p w:rsidR="00F85D16" w:rsidRDefault="005D741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М. П.</w:t>
            </w:r>
          </w:p>
          <w:p w:rsidR="00F85D16" w:rsidRDefault="00F85D16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F85D16" w:rsidRDefault="005D741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____________  _________________  / ________________ /  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должность                             подпись                              Фамилия, И. О.</w:t>
            </w:r>
          </w:p>
          <w:p w:rsidR="00F85D16" w:rsidRDefault="00F85D1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F85D16" w:rsidRDefault="00F85D1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F85D16" w:rsidRDefault="005D741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Руководитель Региональной  федерации футбола РФС</w:t>
            </w:r>
          </w:p>
          <w:p w:rsidR="00F85D16" w:rsidRDefault="00F85D16">
            <w:pPr>
              <w:spacing w:after="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F85D16" w:rsidRDefault="005D741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М.П.  </w:t>
            </w:r>
          </w:p>
          <w:p w:rsidR="00F85D16" w:rsidRDefault="005D741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__________________  / ____________________ /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 </w:t>
            </w:r>
          </w:p>
          <w:p w:rsidR="00F85D16" w:rsidRDefault="005D741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Фамилия И.О.</w:t>
            </w:r>
          </w:p>
        </w:tc>
        <w:tc>
          <w:tcPr>
            <w:tcW w:w="8345" w:type="dxa"/>
          </w:tcPr>
          <w:p w:rsidR="00F85D16" w:rsidRDefault="005D741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F85D16" w:rsidRDefault="00F85D1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85D16" w:rsidRDefault="005D74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</w:t>
            </w:r>
          </w:p>
          <w:p w:rsidR="00F85D16" w:rsidRDefault="00F85D1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F85D16" w:rsidRDefault="005D741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 соревнованиям допущено ___________________________________ футболистов</w:t>
            </w:r>
          </w:p>
          <w:p w:rsidR="00F85D16" w:rsidRDefault="005D74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цифрами (прописью)</w:t>
            </w:r>
          </w:p>
          <w:p w:rsidR="00F85D16" w:rsidRDefault="00F85D1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85D16" w:rsidRDefault="005D74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_________________________________________________</w:t>
            </w:r>
          </w:p>
          <w:p w:rsidR="00F85D16" w:rsidRDefault="005D74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Название лечебно-профилактического заведения</w:t>
            </w:r>
          </w:p>
          <w:p w:rsidR="00F85D16" w:rsidRDefault="00F85D1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85D16" w:rsidRDefault="00F85D1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85D16" w:rsidRDefault="005D741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8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«___»___________ 2019 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>Гл. врач   _________</w:t>
            </w:r>
            <w:r>
              <w:rPr>
                <w:rFonts w:ascii="Times New Roman" w:eastAsia="Times New Roman" w:hAnsi="Times New Roman" w:cs="Times New Roman"/>
                <w:b/>
              </w:rPr>
              <w:t>_____/__________________________/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подпись                          Фамилия, инициалы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>М. П.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</w:t>
            </w:r>
          </w:p>
        </w:tc>
      </w:tr>
      <w:tr w:rsidR="00F85D16">
        <w:tc>
          <w:tcPr>
            <w:tcW w:w="7007" w:type="dxa"/>
          </w:tcPr>
          <w:p w:rsidR="00F85D16" w:rsidRDefault="00F85D1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345" w:type="dxa"/>
          </w:tcPr>
          <w:p w:rsidR="00F85D16" w:rsidRDefault="00F85D16">
            <w:pPr>
              <w:spacing w:after="0"/>
              <w:ind w:left="36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85D16" w:rsidRDefault="00F85D16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85D16" w:rsidRDefault="005D74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F85D16">
          <w:type w:val="continuous"/>
          <w:pgSz w:w="11907" w:h="16840"/>
          <w:pgMar w:top="454" w:right="1134" w:bottom="454" w:left="851" w:header="720" w:footer="720" w:gutter="0"/>
          <w:cols w:space="720"/>
        </w:sectPr>
      </w:pPr>
      <w:r>
        <w:br w:type="page"/>
      </w:r>
    </w:p>
    <w:p w:rsidR="00F85D16" w:rsidRDefault="00F85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85D16">
      <w:type w:val="continuous"/>
      <w:pgSz w:w="11907" w:h="16840"/>
      <w:pgMar w:top="454" w:right="1134" w:bottom="45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1B" w:rsidRDefault="005D741B">
      <w:pPr>
        <w:spacing w:after="0" w:line="240" w:lineRule="auto"/>
      </w:pPr>
      <w:r>
        <w:separator/>
      </w:r>
    </w:p>
  </w:endnote>
  <w:endnote w:type="continuationSeparator" w:id="0">
    <w:p w:rsidR="005D741B" w:rsidRDefault="005D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16" w:rsidRDefault="005D74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F85D16" w:rsidRDefault="00F85D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16" w:rsidRDefault="005D74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 w:rsidR="00A1594B"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A1594B">
      <w:rPr>
        <w:rFonts w:ascii="Times New Roman" w:eastAsia="Times New Roman" w:hAnsi="Times New Roman" w:cs="Times New Roman"/>
        <w:noProof/>
        <w:color w:val="000000"/>
        <w:sz w:val="20"/>
        <w:szCs w:val="20"/>
      </w:rPr>
      <w:t>8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F85D16" w:rsidRDefault="00F85D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1B" w:rsidRDefault="005D741B">
      <w:pPr>
        <w:spacing w:after="0" w:line="240" w:lineRule="auto"/>
      </w:pPr>
      <w:r>
        <w:separator/>
      </w:r>
    </w:p>
  </w:footnote>
  <w:footnote w:type="continuationSeparator" w:id="0">
    <w:p w:rsidR="005D741B" w:rsidRDefault="005D7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5D16"/>
    <w:rsid w:val="005D741B"/>
    <w:rsid w:val="00A1594B"/>
    <w:rsid w:val="00F8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</w:rPr>
  </w:style>
  <w:style w:type="paragraph" w:styleId="2">
    <w:name w:val="heading 2"/>
    <w:basedOn w:val="a"/>
    <w:next w:val="a"/>
    <w:pPr>
      <w:keepNext/>
      <w:spacing w:after="0" w:line="240" w:lineRule="auto"/>
      <w:ind w:left="705"/>
      <w:outlineLvl w:val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heading 3"/>
    <w:basedOn w:val="a"/>
    <w:next w:val="a"/>
    <w:pPr>
      <w:keepNext/>
      <w:spacing w:before="240" w:after="60" w:line="240" w:lineRule="auto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 w:line="240" w:lineRule="auto"/>
      <w:outlineLvl w:val="3"/>
    </w:pPr>
    <w:rPr>
      <w:b/>
      <w:color w:val="000000"/>
      <w:sz w:val="28"/>
      <w:szCs w:val="28"/>
    </w:rPr>
  </w:style>
  <w:style w:type="paragraph" w:styleId="5">
    <w:name w:val="heading 5"/>
    <w:basedOn w:val="a"/>
    <w:next w:val="a"/>
    <w:pPr>
      <w:spacing w:before="240" w:after="60" w:line="240" w:lineRule="auto"/>
      <w:outlineLvl w:val="4"/>
    </w:pPr>
    <w:rPr>
      <w:b/>
      <w:i/>
      <w:color w:val="000000"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1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</w:rPr>
  </w:style>
  <w:style w:type="paragraph" w:styleId="2">
    <w:name w:val="heading 2"/>
    <w:basedOn w:val="a"/>
    <w:next w:val="a"/>
    <w:pPr>
      <w:keepNext/>
      <w:spacing w:after="0" w:line="240" w:lineRule="auto"/>
      <w:ind w:left="705"/>
      <w:outlineLvl w:val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heading 3"/>
    <w:basedOn w:val="a"/>
    <w:next w:val="a"/>
    <w:pPr>
      <w:keepNext/>
      <w:spacing w:before="240" w:after="60" w:line="240" w:lineRule="auto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 w:line="240" w:lineRule="auto"/>
      <w:outlineLvl w:val="3"/>
    </w:pPr>
    <w:rPr>
      <w:b/>
      <w:color w:val="000000"/>
      <w:sz w:val="28"/>
      <w:szCs w:val="28"/>
    </w:rPr>
  </w:style>
  <w:style w:type="paragraph" w:styleId="5">
    <w:name w:val="heading 5"/>
    <w:basedOn w:val="a"/>
    <w:next w:val="a"/>
    <w:pPr>
      <w:spacing w:before="240" w:after="60" w:line="240" w:lineRule="auto"/>
      <w:outlineLvl w:val="4"/>
    </w:pPr>
    <w:rPr>
      <w:b/>
      <w:i/>
      <w:color w:val="000000"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1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3605</Words>
  <Characters>20551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2019-06-14T05:09:00Z</dcterms:created>
  <dcterms:modified xsi:type="dcterms:W3CDTF">2019-06-14T05:12:00Z</dcterms:modified>
</cp:coreProperties>
</file>